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6B" w:rsidRPr="00663161" w:rsidRDefault="00F84F6B" w:rsidP="00E474B6">
      <w:pPr>
        <w:topLinePunct/>
        <w:adjustRightInd w:val="0"/>
        <w:snapToGrid w:val="0"/>
        <w:spacing w:line="360" w:lineRule="auto"/>
        <w:rPr>
          <w:rFonts w:ascii="宋体"/>
          <w:kern w:val="0"/>
          <w:sz w:val="28"/>
          <w:szCs w:val="28"/>
        </w:rPr>
      </w:pPr>
    </w:p>
    <w:p w:rsidR="00F84F6B" w:rsidRPr="00E474B6" w:rsidRDefault="00F84F6B" w:rsidP="00E474B6">
      <w:pPr>
        <w:topLinePunct/>
        <w:adjustRightInd w:val="0"/>
        <w:snapToGrid w:val="0"/>
        <w:spacing w:line="360" w:lineRule="auto"/>
        <w:jc w:val="center"/>
        <w:rPr>
          <w:rFonts w:ascii="宋体"/>
          <w:b/>
          <w:kern w:val="0"/>
          <w:sz w:val="36"/>
          <w:szCs w:val="36"/>
        </w:rPr>
      </w:pPr>
      <w:r w:rsidRPr="00E474B6">
        <w:rPr>
          <w:rFonts w:ascii="宋体" w:hAnsi="宋体" w:hint="eastAsia"/>
          <w:b/>
          <w:kern w:val="0"/>
          <w:sz w:val="36"/>
          <w:szCs w:val="36"/>
        </w:rPr>
        <w:t>安徽大学化学化工学院实验室安全管理规程</w:t>
      </w:r>
    </w:p>
    <w:p w:rsidR="00F84F6B" w:rsidRPr="00663161" w:rsidRDefault="00F84F6B" w:rsidP="00E474B6">
      <w:pPr>
        <w:topLinePunct/>
        <w:adjustRightInd w:val="0"/>
        <w:snapToGrid w:val="0"/>
        <w:spacing w:line="360" w:lineRule="auto"/>
        <w:jc w:val="center"/>
        <w:rPr>
          <w:rFonts w:ascii="宋体"/>
          <w:b/>
          <w:kern w:val="0"/>
          <w:sz w:val="28"/>
          <w:szCs w:val="28"/>
        </w:rPr>
      </w:pPr>
    </w:p>
    <w:p w:rsidR="00F84F6B" w:rsidRPr="00E14840" w:rsidRDefault="00F84F6B" w:rsidP="00E14840">
      <w:pPr>
        <w:numPr>
          <w:ilvl w:val="0"/>
          <w:numId w:val="11"/>
        </w:numPr>
        <w:topLinePunct/>
        <w:adjustRightInd w:val="0"/>
        <w:snapToGrid w:val="0"/>
        <w:spacing w:line="360" w:lineRule="auto"/>
        <w:rPr>
          <w:rFonts w:ascii="黑体" w:eastAsia="黑体" w:hAnsi="宋体"/>
          <w:kern w:val="0"/>
          <w:sz w:val="28"/>
          <w:szCs w:val="28"/>
        </w:rPr>
      </w:pPr>
      <w:r w:rsidRPr="00E14840">
        <w:rPr>
          <w:rFonts w:ascii="黑体" w:eastAsia="黑体" w:hAnsi="宋体" w:hint="eastAsia"/>
          <w:bCs/>
          <w:kern w:val="0"/>
          <w:sz w:val="28"/>
          <w:szCs w:val="28"/>
        </w:rPr>
        <w:t>用电设备使用安全</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使用动力电时，应先检查电源开关、电机和设备各部份是否良好。如有故障，应先排除后，方可接通电源。</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启动或关闭电器设备时，必须将开关扣严或拉妥，防止似接非接状况。使用电子仪器设备时，应先了解其性能，按操作规程操作，若电器设备发生过热现象或糊焦味时，应立即切断电源。</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人员较长时间离开房间或电源中断时，要切断电源开关，尤其是要注意切断加热电器设备的电源开关。</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电源或电器设备的保险烧断时，应先查明烧断原因，排除故障后，再按原负荷选用适宜的保险丝进行更换，不得随意加大或用其它金属线代用。</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定碳、定流电炉、硅碳棒箱或炉的棒端，均应设安全罩。应加接地线的设备，要妥善接地，以防止触电事故。</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注意保持电线和电器设备的干燥，防止线路和设备受潮漏电。</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实验室内不应有裸露的电线头；电源开关箱内，不准堆放物品，以免触电或燃烧。</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要警惕实验室内发生电火花或静电，尤其在使用可能构成爆炸混合物的可然性气体时，更需注意。如遇电线走火，切勿用水或导电的酸碱泡沫灭火器灭火，应切断电源，用沙或二氧化碳灭火器灭火。</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没有掌握电器安全操作的人员不得擅自更动电器设施，或随意拆修电器设备。</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使用高压动力电时，应遵守安全规定，穿戴好绝缘胶鞋、手套，或用安全杆操作。</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实验时先接好线路，再插上电源，实验结束时必须先切断电源，再拆线路。</w:t>
      </w:r>
    </w:p>
    <w:p w:rsidR="00F84F6B" w:rsidRDefault="00F84F6B" w:rsidP="00E474B6">
      <w:pPr>
        <w:numPr>
          <w:ilvl w:val="0"/>
          <w:numId w:val="1"/>
        </w:numPr>
        <w:tabs>
          <w:tab w:val="clear" w:pos="567"/>
        </w:tabs>
        <w:topLinePunct/>
        <w:adjustRightInd w:val="0"/>
        <w:snapToGrid w:val="0"/>
        <w:spacing w:line="360" w:lineRule="auto"/>
        <w:rPr>
          <w:rFonts w:ascii="宋体"/>
          <w:kern w:val="0"/>
          <w:sz w:val="28"/>
          <w:szCs w:val="28"/>
        </w:rPr>
      </w:pPr>
      <w:r w:rsidRPr="00663161">
        <w:rPr>
          <w:rFonts w:ascii="宋体" w:hAnsi="宋体" w:hint="eastAsia"/>
          <w:kern w:val="0"/>
          <w:sz w:val="28"/>
          <w:szCs w:val="28"/>
        </w:rPr>
        <w:t>有人触电时，应立即切断电源，或用绝缘物体将电线与人体分离后，再实施抢救。</w:t>
      </w:r>
    </w:p>
    <w:p w:rsidR="00F84F6B" w:rsidRPr="00663161"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 xml:space="preserve">　</w:t>
      </w:r>
    </w:p>
    <w:p w:rsidR="00F84F6B" w:rsidRPr="00E14840" w:rsidRDefault="00F84F6B" w:rsidP="00E14840">
      <w:pPr>
        <w:numPr>
          <w:ilvl w:val="0"/>
          <w:numId w:val="11"/>
        </w:numPr>
        <w:topLinePunct/>
        <w:adjustRightInd w:val="0"/>
        <w:snapToGrid w:val="0"/>
        <w:spacing w:line="360" w:lineRule="auto"/>
        <w:rPr>
          <w:rFonts w:ascii="黑体" w:eastAsia="黑体" w:hAnsi="宋体"/>
          <w:bCs/>
          <w:kern w:val="0"/>
          <w:sz w:val="28"/>
          <w:szCs w:val="28"/>
        </w:rPr>
      </w:pPr>
      <w:r w:rsidRPr="00E14840">
        <w:rPr>
          <w:rFonts w:ascii="黑体" w:eastAsia="黑体" w:hAnsi="宋体" w:hint="eastAsia"/>
          <w:bCs/>
          <w:kern w:val="0"/>
          <w:sz w:val="28"/>
          <w:szCs w:val="28"/>
        </w:rPr>
        <w:t>易燃气体安全</w:t>
      </w:r>
    </w:p>
    <w:p w:rsidR="00F84F6B" w:rsidRDefault="00F84F6B" w:rsidP="00E474B6">
      <w:pPr>
        <w:numPr>
          <w:ilvl w:val="0"/>
          <w:numId w:val="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经常检查易燃气体管道、接头、开关及器具是否有泄漏，最好在室内设置检测、报警装置。</w:t>
      </w:r>
    </w:p>
    <w:p w:rsidR="00F84F6B" w:rsidRDefault="00F84F6B" w:rsidP="00E474B6">
      <w:pPr>
        <w:numPr>
          <w:ilvl w:val="0"/>
          <w:numId w:val="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如无重大原因，在使用易燃气或在有易燃气管道、器具的实验室，应开窗保持通风。</w:t>
      </w:r>
    </w:p>
    <w:p w:rsidR="00F84F6B" w:rsidRDefault="00F84F6B" w:rsidP="00E474B6">
      <w:pPr>
        <w:numPr>
          <w:ilvl w:val="0"/>
          <w:numId w:val="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当发现实验室里有可燃气泄漏时，应立即停止使用，撤离人员并迅速开门窗或抽风机排除，检查泄漏处并及时修理。在未完全排除前，不准点火，也不得接通电源。特别是煤气，具有双重危险，不仅能与空气形成燃爆性混合物，并可致人中毒、死亡。</w:t>
      </w:r>
    </w:p>
    <w:p w:rsidR="00F84F6B" w:rsidRDefault="00F84F6B" w:rsidP="00E474B6">
      <w:pPr>
        <w:numPr>
          <w:ilvl w:val="0"/>
          <w:numId w:val="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检查易燃气泄漏处时，应先开窗、通风，使室内换入新鲜空气后进行。可用肥皂水或洗涤剂涂于接头处或可疑处，也可用气敏测漏仪等设备进行检查。严禁用火试漏。</w:t>
      </w:r>
    </w:p>
    <w:p w:rsidR="00F84F6B" w:rsidRDefault="00F84F6B" w:rsidP="00E474B6">
      <w:pPr>
        <w:numPr>
          <w:ilvl w:val="0"/>
          <w:numId w:val="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如果由于易燃气管道或开关装配不严，引起着火时，应立即关闭通向漏气处的开关或阀门，切断气源，然后用湿布或石棉纸复盖以扑灭火焰。</w:t>
      </w:r>
    </w:p>
    <w:p w:rsidR="00F84F6B" w:rsidRDefault="00F84F6B" w:rsidP="00E474B6">
      <w:pPr>
        <w:numPr>
          <w:ilvl w:val="0"/>
          <w:numId w:val="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下班或人员离开使用易燃气的实验室前，应注意检查使用过的易燃气器具是否完全关闭或熄灭，以防内燃。室内无人时，禁止使用易燃气器具。</w:t>
      </w:r>
    </w:p>
    <w:p w:rsidR="00F84F6B" w:rsidRDefault="00F84F6B" w:rsidP="00E474B6">
      <w:pPr>
        <w:numPr>
          <w:ilvl w:val="0"/>
          <w:numId w:val="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使用煤气时，必须先关闭空气阀门，点火后，再开空气阀，并调节到适当流量。停止使用时，也要先关空气阀，后关煤气阀。</w:t>
      </w:r>
    </w:p>
    <w:p w:rsidR="00F84F6B" w:rsidRDefault="00F84F6B" w:rsidP="00E474B6">
      <w:pPr>
        <w:numPr>
          <w:ilvl w:val="0"/>
          <w:numId w:val="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临时出现停止易燃气供应时，一定要随即关闭一切器具上的开关、分阀或总阔，特别是煤气。以防恢复供气时，室内充满易燃气，发生严重危险。</w:t>
      </w:r>
    </w:p>
    <w:p w:rsidR="00F84F6B" w:rsidRPr="00663161" w:rsidRDefault="00F84F6B" w:rsidP="00E474B6">
      <w:pPr>
        <w:numPr>
          <w:ilvl w:val="0"/>
          <w:numId w:val="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在易燃气器具附近，严禁放置易燃易爆物品。</w:t>
      </w:r>
    </w:p>
    <w:p w:rsidR="00F84F6B" w:rsidRPr="00663161"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 xml:space="preserve">　</w:t>
      </w:r>
    </w:p>
    <w:p w:rsidR="00F84F6B" w:rsidRPr="00E14840" w:rsidRDefault="00F84F6B" w:rsidP="00E14840">
      <w:pPr>
        <w:numPr>
          <w:ilvl w:val="0"/>
          <w:numId w:val="11"/>
        </w:numPr>
        <w:topLinePunct/>
        <w:adjustRightInd w:val="0"/>
        <w:snapToGrid w:val="0"/>
        <w:spacing w:line="360" w:lineRule="auto"/>
        <w:rPr>
          <w:rFonts w:ascii="黑体" w:eastAsia="黑体" w:hAnsi="宋体"/>
          <w:bCs/>
          <w:kern w:val="0"/>
          <w:sz w:val="28"/>
          <w:szCs w:val="28"/>
        </w:rPr>
      </w:pPr>
      <w:r w:rsidRPr="00E14840">
        <w:rPr>
          <w:rFonts w:ascii="黑体" w:eastAsia="黑体" w:hAnsi="宋体" w:hint="eastAsia"/>
          <w:bCs/>
          <w:kern w:val="0"/>
          <w:sz w:val="28"/>
          <w:szCs w:val="28"/>
        </w:rPr>
        <w:t>有毒物品及化学药剂管理</w:t>
      </w:r>
    </w:p>
    <w:p w:rsidR="00F84F6B" w:rsidRDefault="00F84F6B" w:rsidP="00E474B6">
      <w:pPr>
        <w:numPr>
          <w:ilvl w:val="0"/>
          <w:numId w:val="4"/>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一切有毒物品及化学药剂，要严格按类存放保管、发放、使用，并妥善处理剩余物品和残毒物品。</w:t>
      </w:r>
    </w:p>
    <w:p w:rsidR="00F84F6B" w:rsidRDefault="00F84F6B" w:rsidP="00E474B6">
      <w:pPr>
        <w:numPr>
          <w:ilvl w:val="0"/>
          <w:numId w:val="4"/>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在实验中尽量采用无毒或少毒物质来代替毒物，或采用较好的实验方案、设施、工艺来减少避免在实验过程中扩散有毒物质。</w:t>
      </w:r>
    </w:p>
    <w:p w:rsidR="00F84F6B" w:rsidRDefault="00F84F6B" w:rsidP="00E474B6">
      <w:pPr>
        <w:numPr>
          <w:ilvl w:val="0"/>
          <w:numId w:val="4"/>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实验室应装设通风排毒用的通风橱，在使用大量易挥发毒物的实验室应装设排风扇等强化通风设备；必要时也可用真空泵、水泵连接在发生器上，构成封闭实验系统，减少毒物在室内逸出。</w:t>
      </w:r>
    </w:p>
    <w:p w:rsidR="00F84F6B" w:rsidRDefault="00F84F6B" w:rsidP="00E474B6">
      <w:pPr>
        <w:numPr>
          <w:ilvl w:val="0"/>
          <w:numId w:val="4"/>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注意保持个人卫生和遵守个人防护规程，绝对禁止在使用毒物或有可能被毒物污染的实验室内饮食、吸烟或在有可能被污染的容器内存放食物。在不能保证无毒的环境下工作时应穿戴好防护衣物；实验完毕及时洗手，条件允许应洗澡；生活衣物与工作衣物不应在一起存放；工作时间内，须经仔细洗手、漱口（必要时用消毒液）后，才能在指定的房间饮水、用膳。</w:t>
      </w:r>
    </w:p>
    <w:p w:rsidR="00F84F6B" w:rsidRDefault="00F84F6B" w:rsidP="00E474B6">
      <w:pPr>
        <w:numPr>
          <w:ilvl w:val="0"/>
          <w:numId w:val="4"/>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在实验室无通风橱或通风不良，实验过程又有大量有毒物逸出时，实验人员应按规定分类使用防毒口罩或防毒面具，不得掉以轻心。</w:t>
      </w:r>
    </w:p>
    <w:p w:rsidR="00F84F6B" w:rsidRPr="00663161" w:rsidRDefault="00F84F6B" w:rsidP="00E474B6">
      <w:pPr>
        <w:numPr>
          <w:ilvl w:val="0"/>
          <w:numId w:val="4"/>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定期进行体格检查，认真执行劳动保护条例。</w:t>
      </w:r>
    </w:p>
    <w:p w:rsidR="00F84F6B" w:rsidRPr="00663161"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 xml:space="preserve">　</w:t>
      </w:r>
    </w:p>
    <w:p w:rsidR="00F84F6B" w:rsidRPr="00E14840" w:rsidRDefault="00F84F6B" w:rsidP="00E14840">
      <w:pPr>
        <w:numPr>
          <w:ilvl w:val="0"/>
          <w:numId w:val="11"/>
        </w:numPr>
        <w:topLinePunct/>
        <w:adjustRightInd w:val="0"/>
        <w:snapToGrid w:val="0"/>
        <w:spacing w:line="360" w:lineRule="auto"/>
        <w:rPr>
          <w:rFonts w:ascii="黑体" w:eastAsia="黑体" w:hAnsi="宋体"/>
          <w:bCs/>
          <w:kern w:val="0"/>
          <w:sz w:val="28"/>
          <w:szCs w:val="28"/>
        </w:rPr>
      </w:pPr>
      <w:r w:rsidRPr="00E14840">
        <w:rPr>
          <w:rFonts w:ascii="黑体" w:eastAsia="黑体" w:hAnsi="宋体" w:hint="eastAsia"/>
          <w:bCs/>
          <w:kern w:val="0"/>
          <w:sz w:val="28"/>
          <w:szCs w:val="28"/>
        </w:rPr>
        <w:t>高压气瓶安全</w:t>
      </w:r>
    </w:p>
    <w:p w:rsidR="00F84F6B" w:rsidRDefault="00F84F6B" w:rsidP="00E474B6">
      <w:pPr>
        <w:numPr>
          <w:ilvl w:val="0"/>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高压气瓶的搬运、存放和充装应注意事项：</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在搬动存放气瓶时，应装上防震垫圈，旋紧安全帽，以保护开关阀，防止其意外转动和减少碰撞。</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搬运充装有气体的气瓶时，最好用特制的担架或小推车，也可以用手平抬或垂直转动。但绝不允许用手执着开关阀移动。</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充装有气的气瓶装车运输时，应妥善加以固定，避免途中滚动碰撞；装卸车时应轻抬轻放，禁止采用抛丢、下滑或其它易引起碰击的方法。</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充装有互相接触后可引起燃烧、爆炸气体的气瓶（如氢气瓶和氧气瓶），不能同车搬运或同存一处，也不能与其它易燃易爆物品混合存放。</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气瓶瓶体有缺陷、安全附件不全或已损坏，不能保证安全使用的，切不可再送去充装气体，应送交有关单位检查合格后方可使用。</w:t>
      </w:r>
    </w:p>
    <w:p w:rsidR="00F84F6B" w:rsidRDefault="00F84F6B" w:rsidP="00E474B6">
      <w:pPr>
        <w:numPr>
          <w:ilvl w:val="0"/>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一般高压气瓶使用原则</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高压气瓶必须分类分处保管，直立放置时要固定稳妥；气瓶要远离热源，避免曝晒和强烈振动；一般实验室内存放气瓶量不得超过两瓶。</w:t>
      </w:r>
    </w:p>
    <w:p w:rsidR="00F84F6B" w:rsidRDefault="00F84F6B" w:rsidP="00B739A2">
      <w:pPr>
        <w:topLinePunct/>
        <w:adjustRightInd w:val="0"/>
        <w:snapToGrid w:val="0"/>
        <w:spacing w:line="360" w:lineRule="auto"/>
        <w:ind w:firstLineChars="200" w:firstLine="31680"/>
        <w:rPr>
          <w:rFonts w:ascii="宋体"/>
          <w:kern w:val="0"/>
          <w:sz w:val="28"/>
          <w:szCs w:val="28"/>
        </w:rPr>
      </w:pPr>
      <w:r>
        <w:rPr>
          <w:rFonts w:ascii="宋体" w:hAnsi="宋体"/>
          <w:kern w:val="0"/>
          <w:sz w:val="28"/>
          <w:szCs w:val="28"/>
        </w:rPr>
        <w:t>A</w:t>
      </w:r>
      <w:r>
        <w:rPr>
          <w:rFonts w:ascii="宋体" w:hAnsi="宋体" w:hint="eastAsia"/>
          <w:kern w:val="0"/>
          <w:sz w:val="28"/>
          <w:szCs w:val="28"/>
        </w:rPr>
        <w:t>、</w:t>
      </w:r>
      <w:r w:rsidRPr="00663161">
        <w:rPr>
          <w:rFonts w:ascii="宋体" w:hAnsi="宋体" w:hint="eastAsia"/>
          <w:kern w:val="0"/>
          <w:sz w:val="28"/>
          <w:szCs w:val="28"/>
        </w:rPr>
        <w:t>在钢瓶肩部，用钢印打出下述标记</w:t>
      </w:r>
    </w:p>
    <w:p w:rsidR="00F84F6B"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制造厂制造日期气瓶型号工作压力气压试验压力</w:t>
      </w:r>
    </w:p>
    <w:p w:rsidR="00F84F6B"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气压试验日期及下次送验日期气体容积气瓶重量</w:t>
      </w:r>
    </w:p>
    <w:p w:rsidR="00F84F6B" w:rsidRDefault="00F84F6B" w:rsidP="00B739A2">
      <w:pPr>
        <w:topLinePunct/>
        <w:adjustRightInd w:val="0"/>
        <w:snapToGrid w:val="0"/>
        <w:spacing w:line="360" w:lineRule="auto"/>
        <w:ind w:firstLineChars="200" w:firstLine="31680"/>
        <w:rPr>
          <w:rFonts w:ascii="宋体"/>
          <w:kern w:val="0"/>
          <w:sz w:val="28"/>
          <w:szCs w:val="28"/>
        </w:rPr>
      </w:pPr>
      <w:r>
        <w:rPr>
          <w:rFonts w:ascii="宋体" w:hAnsi="宋体"/>
          <w:kern w:val="0"/>
          <w:sz w:val="28"/>
          <w:szCs w:val="28"/>
        </w:rPr>
        <w:t>B</w:t>
      </w:r>
      <w:r>
        <w:rPr>
          <w:rFonts w:ascii="宋体" w:hAnsi="宋体" w:hint="eastAsia"/>
          <w:kern w:val="0"/>
          <w:sz w:val="28"/>
          <w:szCs w:val="28"/>
        </w:rPr>
        <w:t>、</w:t>
      </w:r>
      <w:r w:rsidRPr="00663161">
        <w:rPr>
          <w:rFonts w:ascii="宋体" w:hAnsi="宋体" w:hint="eastAsia"/>
          <w:kern w:val="0"/>
          <w:sz w:val="28"/>
          <w:szCs w:val="28"/>
        </w:rPr>
        <w:t>为了避免各种钢瓶使用时发生混淆，常将钢瓶上漆上不同颜色，写明瓶内气体名称。</w:t>
      </w:r>
    </w:p>
    <w:p w:rsidR="00F84F6B" w:rsidRPr="00E14840" w:rsidRDefault="00F84F6B" w:rsidP="00E14840">
      <w:pPr>
        <w:topLinePunct/>
        <w:adjustRightInd w:val="0"/>
        <w:snapToGrid w:val="0"/>
        <w:spacing w:line="360" w:lineRule="auto"/>
        <w:ind w:firstLineChars="200" w:firstLine="31680"/>
        <w:rPr>
          <w:rFonts w:ascii="宋体"/>
          <w:b/>
          <w:kern w:val="0"/>
          <w:sz w:val="28"/>
          <w:szCs w:val="28"/>
        </w:rPr>
      </w:pPr>
      <w:r w:rsidRPr="00E14840">
        <w:rPr>
          <w:rFonts w:ascii="宋体" w:hAnsi="宋体" w:hint="eastAsia"/>
          <w:b/>
          <w:kern w:val="0"/>
          <w:sz w:val="28"/>
          <w:szCs w:val="28"/>
        </w:rPr>
        <w:t>各种气体钢瓶标志</w:t>
      </w:r>
    </w:p>
    <w:tbl>
      <w:tblPr>
        <w:tblW w:w="5000" w:type="pct"/>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0A0"/>
      </w:tblPr>
      <w:tblGrid>
        <w:gridCol w:w="1687"/>
        <w:gridCol w:w="1687"/>
        <w:gridCol w:w="1680"/>
        <w:gridCol w:w="1686"/>
        <w:gridCol w:w="1686"/>
      </w:tblGrid>
      <w:tr w:rsidR="00F84F6B" w:rsidRPr="00E14840" w:rsidTr="00E474B6">
        <w:trPr>
          <w:cantSplit/>
        </w:trPr>
        <w:tc>
          <w:tcPr>
            <w:tcW w:w="0" w:type="auto"/>
            <w:tcBorders>
              <w:top w:val="outset" w:sz="6" w:space="0" w:color="auto"/>
              <w:bottom w:val="outset" w:sz="6" w:space="0" w:color="auto"/>
              <w:right w:val="outset" w:sz="6" w:space="0" w:color="auto"/>
            </w:tcBorders>
            <w:vAlign w:val="center"/>
          </w:tcPr>
          <w:p w:rsidR="00F84F6B" w:rsidRPr="00E14840" w:rsidRDefault="00F84F6B" w:rsidP="00E474B6">
            <w:pPr>
              <w:topLinePunct/>
              <w:adjustRightInd w:val="0"/>
              <w:snapToGrid w:val="0"/>
              <w:jc w:val="center"/>
              <w:rPr>
                <w:rFonts w:ascii="宋体"/>
                <w:b/>
                <w:kern w:val="0"/>
                <w:sz w:val="24"/>
                <w:szCs w:val="24"/>
              </w:rPr>
            </w:pPr>
            <w:r w:rsidRPr="00E14840">
              <w:rPr>
                <w:rFonts w:ascii="宋体" w:hAnsi="宋体" w:hint="eastAsia"/>
                <w:b/>
                <w:kern w:val="0"/>
                <w:sz w:val="24"/>
                <w:szCs w:val="24"/>
              </w:rPr>
              <w:t>气体类别</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14840" w:rsidRDefault="00F84F6B" w:rsidP="00E474B6">
            <w:pPr>
              <w:topLinePunct/>
              <w:adjustRightInd w:val="0"/>
              <w:snapToGrid w:val="0"/>
              <w:jc w:val="center"/>
              <w:rPr>
                <w:rFonts w:ascii="宋体"/>
                <w:b/>
                <w:kern w:val="0"/>
                <w:sz w:val="24"/>
                <w:szCs w:val="24"/>
              </w:rPr>
            </w:pPr>
            <w:r w:rsidRPr="00E14840">
              <w:rPr>
                <w:rFonts w:ascii="宋体" w:hAnsi="宋体" w:hint="eastAsia"/>
                <w:b/>
                <w:kern w:val="0"/>
                <w:sz w:val="24"/>
                <w:szCs w:val="24"/>
              </w:rPr>
              <w:t>瓶身颜色</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14840" w:rsidRDefault="00F84F6B" w:rsidP="00E474B6">
            <w:pPr>
              <w:topLinePunct/>
              <w:adjustRightInd w:val="0"/>
              <w:snapToGrid w:val="0"/>
              <w:jc w:val="center"/>
              <w:rPr>
                <w:rFonts w:ascii="宋体"/>
                <w:b/>
                <w:kern w:val="0"/>
                <w:sz w:val="24"/>
                <w:szCs w:val="24"/>
              </w:rPr>
            </w:pPr>
            <w:r w:rsidRPr="00E14840">
              <w:rPr>
                <w:rFonts w:ascii="宋体" w:hAnsi="宋体" w:hint="eastAsia"/>
                <w:b/>
                <w:kern w:val="0"/>
                <w:sz w:val="24"/>
                <w:szCs w:val="24"/>
              </w:rPr>
              <w:t>字样</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14840" w:rsidRDefault="00F84F6B" w:rsidP="00E474B6">
            <w:pPr>
              <w:topLinePunct/>
              <w:adjustRightInd w:val="0"/>
              <w:snapToGrid w:val="0"/>
              <w:jc w:val="center"/>
              <w:rPr>
                <w:rFonts w:ascii="宋体"/>
                <w:b/>
                <w:kern w:val="0"/>
                <w:sz w:val="24"/>
                <w:szCs w:val="24"/>
              </w:rPr>
            </w:pPr>
            <w:r w:rsidRPr="00E14840">
              <w:rPr>
                <w:rFonts w:ascii="宋体" w:hAnsi="宋体" w:hint="eastAsia"/>
                <w:b/>
                <w:kern w:val="0"/>
                <w:sz w:val="24"/>
                <w:szCs w:val="24"/>
              </w:rPr>
              <w:t>标字颜色</w:t>
            </w:r>
          </w:p>
        </w:tc>
        <w:tc>
          <w:tcPr>
            <w:tcW w:w="0" w:type="auto"/>
            <w:tcBorders>
              <w:top w:val="outset" w:sz="6" w:space="0" w:color="auto"/>
              <w:left w:val="outset" w:sz="6" w:space="0" w:color="auto"/>
              <w:bottom w:val="outset" w:sz="6" w:space="0" w:color="auto"/>
            </w:tcBorders>
            <w:vAlign w:val="center"/>
          </w:tcPr>
          <w:p w:rsidR="00F84F6B" w:rsidRPr="00E14840" w:rsidRDefault="00F84F6B" w:rsidP="00E474B6">
            <w:pPr>
              <w:topLinePunct/>
              <w:adjustRightInd w:val="0"/>
              <w:snapToGrid w:val="0"/>
              <w:jc w:val="center"/>
              <w:rPr>
                <w:rFonts w:ascii="宋体"/>
                <w:b/>
                <w:kern w:val="0"/>
                <w:sz w:val="24"/>
                <w:szCs w:val="24"/>
              </w:rPr>
            </w:pPr>
            <w:r w:rsidRPr="00E14840">
              <w:rPr>
                <w:rFonts w:ascii="宋体" w:hAnsi="宋体" w:hint="eastAsia"/>
                <w:b/>
                <w:kern w:val="0"/>
                <w:sz w:val="24"/>
                <w:szCs w:val="24"/>
              </w:rPr>
              <w:t>腰带颜色</w:t>
            </w:r>
          </w:p>
        </w:tc>
      </w:tr>
      <w:tr w:rsidR="00F84F6B" w:rsidRPr="00663161" w:rsidTr="00E474B6">
        <w:trPr>
          <w:cantSplit/>
        </w:trPr>
        <w:tc>
          <w:tcPr>
            <w:tcW w:w="0" w:type="auto"/>
            <w:tcBorders>
              <w:top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氮气</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黑</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氮</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黄</w:t>
            </w:r>
          </w:p>
        </w:tc>
        <w:tc>
          <w:tcPr>
            <w:tcW w:w="0" w:type="auto"/>
            <w:tcBorders>
              <w:top w:val="outset" w:sz="6" w:space="0" w:color="auto"/>
              <w:left w:val="outset" w:sz="6" w:space="0" w:color="auto"/>
              <w:bottom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棕</w:t>
            </w:r>
          </w:p>
        </w:tc>
      </w:tr>
      <w:tr w:rsidR="00F84F6B" w:rsidRPr="00663161" w:rsidTr="00E474B6">
        <w:trPr>
          <w:cantSplit/>
        </w:trPr>
        <w:tc>
          <w:tcPr>
            <w:tcW w:w="0" w:type="auto"/>
            <w:tcBorders>
              <w:top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氧气</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天蓝</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氧</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黑</w:t>
            </w:r>
          </w:p>
        </w:tc>
        <w:tc>
          <w:tcPr>
            <w:tcW w:w="0" w:type="auto"/>
            <w:tcBorders>
              <w:top w:val="outset" w:sz="6" w:space="0" w:color="auto"/>
              <w:left w:val="outset" w:sz="6" w:space="0" w:color="auto"/>
              <w:bottom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 xml:space="preserve">　</w:t>
            </w:r>
          </w:p>
        </w:tc>
      </w:tr>
      <w:tr w:rsidR="00F84F6B" w:rsidRPr="00663161" w:rsidTr="00E474B6">
        <w:trPr>
          <w:cantSplit/>
        </w:trPr>
        <w:tc>
          <w:tcPr>
            <w:tcW w:w="0" w:type="auto"/>
            <w:tcBorders>
              <w:top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氢气</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深绿</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氢</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红</w:t>
            </w:r>
          </w:p>
        </w:tc>
        <w:tc>
          <w:tcPr>
            <w:tcW w:w="0" w:type="auto"/>
            <w:tcBorders>
              <w:top w:val="outset" w:sz="6" w:space="0" w:color="auto"/>
              <w:left w:val="outset" w:sz="6" w:space="0" w:color="auto"/>
              <w:bottom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红</w:t>
            </w:r>
          </w:p>
        </w:tc>
      </w:tr>
      <w:tr w:rsidR="00F84F6B" w:rsidRPr="00663161" w:rsidTr="00E474B6">
        <w:trPr>
          <w:cantSplit/>
        </w:trPr>
        <w:tc>
          <w:tcPr>
            <w:tcW w:w="0" w:type="auto"/>
            <w:tcBorders>
              <w:top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压缩空气</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黑</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压缩空气</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白</w:t>
            </w:r>
          </w:p>
        </w:tc>
        <w:tc>
          <w:tcPr>
            <w:tcW w:w="0" w:type="auto"/>
            <w:tcBorders>
              <w:top w:val="outset" w:sz="6" w:space="0" w:color="auto"/>
              <w:left w:val="outset" w:sz="6" w:space="0" w:color="auto"/>
              <w:bottom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 xml:space="preserve">　</w:t>
            </w:r>
          </w:p>
        </w:tc>
      </w:tr>
      <w:tr w:rsidR="00F84F6B" w:rsidRPr="00663161" w:rsidTr="00E474B6">
        <w:trPr>
          <w:cantSplit/>
        </w:trPr>
        <w:tc>
          <w:tcPr>
            <w:tcW w:w="0" w:type="auto"/>
            <w:tcBorders>
              <w:top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液氨</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黄</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氨</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黑</w:t>
            </w:r>
          </w:p>
        </w:tc>
        <w:tc>
          <w:tcPr>
            <w:tcW w:w="0" w:type="auto"/>
            <w:tcBorders>
              <w:top w:val="outset" w:sz="6" w:space="0" w:color="auto"/>
              <w:left w:val="outset" w:sz="6" w:space="0" w:color="auto"/>
              <w:bottom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 xml:space="preserve">　</w:t>
            </w:r>
          </w:p>
        </w:tc>
      </w:tr>
      <w:tr w:rsidR="00F84F6B" w:rsidRPr="00663161" w:rsidTr="00E474B6">
        <w:trPr>
          <w:cantSplit/>
        </w:trPr>
        <w:tc>
          <w:tcPr>
            <w:tcW w:w="0" w:type="auto"/>
            <w:tcBorders>
              <w:top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二氧化碳</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黑</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二氧化碳</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黄</w:t>
            </w:r>
          </w:p>
        </w:tc>
        <w:tc>
          <w:tcPr>
            <w:tcW w:w="0" w:type="auto"/>
            <w:tcBorders>
              <w:top w:val="outset" w:sz="6" w:space="0" w:color="auto"/>
              <w:left w:val="outset" w:sz="6" w:space="0" w:color="auto"/>
              <w:bottom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黄</w:t>
            </w:r>
          </w:p>
        </w:tc>
      </w:tr>
      <w:tr w:rsidR="00F84F6B" w:rsidRPr="00663161" w:rsidTr="00E474B6">
        <w:trPr>
          <w:cantSplit/>
        </w:trPr>
        <w:tc>
          <w:tcPr>
            <w:tcW w:w="0" w:type="auto"/>
            <w:tcBorders>
              <w:top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氦气</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棕</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氦</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白</w:t>
            </w:r>
          </w:p>
        </w:tc>
        <w:tc>
          <w:tcPr>
            <w:tcW w:w="0" w:type="auto"/>
            <w:tcBorders>
              <w:top w:val="outset" w:sz="6" w:space="0" w:color="auto"/>
              <w:left w:val="outset" w:sz="6" w:space="0" w:color="auto"/>
              <w:bottom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 xml:space="preserve">　</w:t>
            </w:r>
          </w:p>
        </w:tc>
      </w:tr>
      <w:tr w:rsidR="00F84F6B" w:rsidRPr="00663161" w:rsidTr="00E474B6">
        <w:trPr>
          <w:cantSplit/>
        </w:trPr>
        <w:tc>
          <w:tcPr>
            <w:tcW w:w="0" w:type="auto"/>
            <w:tcBorders>
              <w:top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氯气</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草绿</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氯</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白</w:t>
            </w:r>
          </w:p>
        </w:tc>
        <w:tc>
          <w:tcPr>
            <w:tcW w:w="0" w:type="auto"/>
            <w:tcBorders>
              <w:top w:val="outset" w:sz="6" w:space="0" w:color="auto"/>
              <w:left w:val="outset" w:sz="6" w:space="0" w:color="auto"/>
              <w:bottom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 xml:space="preserve">　</w:t>
            </w:r>
          </w:p>
        </w:tc>
      </w:tr>
      <w:tr w:rsidR="00F84F6B" w:rsidRPr="00663161" w:rsidTr="00E474B6">
        <w:trPr>
          <w:cantSplit/>
        </w:trPr>
        <w:tc>
          <w:tcPr>
            <w:tcW w:w="0" w:type="auto"/>
            <w:tcBorders>
              <w:top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石油气体</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灰</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石油气体</w:t>
            </w:r>
          </w:p>
        </w:tc>
        <w:tc>
          <w:tcPr>
            <w:tcW w:w="0" w:type="auto"/>
            <w:tcBorders>
              <w:top w:val="outset" w:sz="6" w:space="0" w:color="auto"/>
              <w:left w:val="outset" w:sz="6" w:space="0" w:color="auto"/>
              <w:bottom w:val="outset" w:sz="6" w:space="0" w:color="auto"/>
              <w:right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红</w:t>
            </w:r>
          </w:p>
        </w:tc>
        <w:tc>
          <w:tcPr>
            <w:tcW w:w="0" w:type="auto"/>
            <w:tcBorders>
              <w:top w:val="outset" w:sz="6" w:space="0" w:color="auto"/>
              <w:left w:val="outset" w:sz="6" w:space="0" w:color="auto"/>
              <w:bottom w:val="outset" w:sz="6" w:space="0" w:color="auto"/>
            </w:tcBorders>
            <w:vAlign w:val="center"/>
          </w:tcPr>
          <w:p w:rsidR="00F84F6B" w:rsidRPr="00E474B6" w:rsidRDefault="00F84F6B" w:rsidP="00E474B6">
            <w:pPr>
              <w:topLinePunct/>
              <w:adjustRightInd w:val="0"/>
              <w:snapToGrid w:val="0"/>
              <w:jc w:val="center"/>
              <w:rPr>
                <w:rFonts w:ascii="宋体"/>
                <w:kern w:val="0"/>
                <w:sz w:val="24"/>
                <w:szCs w:val="24"/>
              </w:rPr>
            </w:pPr>
            <w:r w:rsidRPr="00E474B6">
              <w:rPr>
                <w:rFonts w:ascii="宋体" w:hAnsi="宋体" w:hint="eastAsia"/>
                <w:kern w:val="0"/>
                <w:sz w:val="24"/>
                <w:szCs w:val="24"/>
              </w:rPr>
              <w:t xml:space="preserve">　</w:t>
            </w:r>
          </w:p>
        </w:tc>
      </w:tr>
    </w:tbl>
    <w:p w:rsidR="00F84F6B" w:rsidRPr="00663161" w:rsidRDefault="00F84F6B" w:rsidP="00F84F6B">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 xml:space="preserve">　</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高压气瓶上选用的减压器要分类专用，安装时螺扣要旋紧，防止泄漏；开、关减压器和开关阀时，动作必须缓慢；使用时应先旋动开关阀，后开减压器；用完，先关闭开关阀，放尽余气后，再关减压器。切不可只关减压器，不关开关阀。</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使用高压气瓶时，操作人员应站在与气瓶接口处垂直的位置上。操作时严禁敲打撞击，并经常检查有无漏气，应注意压力表读数。</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氧气瓶或氢气瓶等，应配备专用工具，并严禁与油类接触。操作人员不能穿戴沾有各种油脂或易感应产生静电的服装手套操作，以免引起燃烧或爆炸。</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可燃性气体和助燃气体气瓶，与明火的距离应大于十米（确难达到时，可采取隔离等措施）。</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用后的气瓶，应按规定留</w:t>
      </w:r>
      <w:r w:rsidRPr="00663161">
        <w:rPr>
          <w:rFonts w:ascii="宋体" w:hAnsi="宋体"/>
          <w:kern w:val="0"/>
          <w:sz w:val="28"/>
          <w:szCs w:val="28"/>
        </w:rPr>
        <w:t>0.05MPa</w:t>
      </w:r>
      <w:r w:rsidRPr="00663161">
        <w:rPr>
          <w:rFonts w:ascii="宋体" w:hAnsi="宋体" w:hint="eastAsia"/>
          <w:kern w:val="0"/>
          <w:sz w:val="28"/>
          <w:szCs w:val="28"/>
        </w:rPr>
        <w:t>以上的残余压力。可燃性气体应剩余</w:t>
      </w:r>
      <w:r w:rsidRPr="00663161">
        <w:rPr>
          <w:rFonts w:ascii="宋体" w:hAnsi="宋体"/>
          <w:kern w:val="0"/>
          <w:sz w:val="28"/>
          <w:szCs w:val="28"/>
        </w:rPr>
        <w:t>0.2MPa</w:t>
      </w:r>
      <w:r w:rsidRPr="00663161">
        <w:rPr>
          <w:rFonts w:ascii="宋体" w:hAnsi="宋体" w:hint="eastAsia"/>
          <w:kern w:val="0"/>
          <w:sz w:val="28"/>
          <w:szCs w:val="28"/>
        </w:rPr>
        <w:t>～</w:t>
      </w:r>
      <w:r w:rsidRPr="00663161">
        <w:rPr>
          <w:rFonts w:ascii="宋体" w:hAnsi="宋体"/>
          <w:kern w:val="0"/>
          <w:sz w:val="28"/>
          <w:szCs w:val="28"/>
        </w:rPr>
        <w:t>0.3MPa</w:t>
      </w:r>
      <w:r w:rsidRPr="00663161">
        <w:rPr>
          <w:rFonts w:ascii="宋体" w:hAnsi="宋体" w:hint="eastAsia"/>
          <w:kern w:val="0"/>
          <w:sz w:val="28"/>
          <w:szCs w:val="28"/>
        </w:rPr>
        <w:t>（约</w:t>
      </w:r>
      <w:r w:rsidRPr="00663161">
        <w:rPr>
          <w:rFonts w:ascii="宋体" w:hAnsi="宋体"/>
          <w:kern w:val="0"/>
          <w:sz w:val="28"/>
          <w:szCs w:val="28"/>
        </w:rPr>
        <w:t>2kg</w:t>
      </w:r>
      <w:r w:rsidRPr="00663161">
        <w:rPr>
          <w:rFonts w:ascii="宋体" w:hAnsi="宋体" w:hint="eastAsia"/>
          <w:kern w:val="0"/>
          <w:sz w:val="28"/>
          <w:szCs w:val="28"/>
        </w:rPr>
        <w:t>／</w:t>
      </w:r>
      <w:r w:rsidRPr="00663161">
        <w:rPr>
          <w:rFonts w:ascii="宋体" w:hAnsi="宋体"/>
          <w:kern w:val="0"/>
          <w:sz w:val="28"/>
          <w:szCs w:val="28"/>
        </w:rPr>
        <w:t>cm2</w:t>
      </w:r>
      <w:r w:rsidRPr="00663161">
        <w:rPr>
          <w:rFonts w:ascii="宋体" w:hAnsi="宋体" w:hint="eastAsia"/>
          <w:kern w:val="0"/>
          <w:sz w:val="28"/>
          <w:szCs w:val="28"/>
        </w:rPr>
        <w:t>～</w:t>
      </w:r>
      <w:r w:rsidRPr="00663161">
        <w:rPr>
          <w:rFonts w:ascii="宋体" w:hAnsi="宋体"/>
          <w:kern w:val="0"/>
          <w:sz w:val="28"/>
          <w:szCs w:val="28"/>
        </w:rPr>
        <w:t>3kg</w:t>
      </w:r>
      <w:r w:rsidRPr="00663161">
        <w:rPr>
          <w:rFonts w:ascii="宋体" w:hAnsi="宋体" w:hint="eastAsia"/>
          <w:kern w:val="0"/>
          <w:sz w:val="28"/>
          <w:szCs w:val="28"/>
        </w:rPr>
        <w:t>／</w:t>
      </w:r>
      <w:r w:rsidRPr="00663161">
        <w:rPr>
          <w:rFonts w:ascii="宋体" w:hAnsi="宋体"/>
          <w:kern w:val="0"/>
          <w:sz w:val="28"/>
          <w:szCs w:val="28"/>
        </w:rPr>
        <w:t>cm2</w:t>
      </w:r>
      <w:r w:rsidRPr="00663161">
        <w:rPr>
          <w:rFonts w:ascii="宋体" w:hAnsi="宋体" w:hint="eastAsia"/>
          <w:kern w:val="0"/>
          <w:sz w:val="28"/>
          <w:szCs w:val="28"/>
        </w:rPr>
        <w:t>表压），</w:t>
      </w:r>
      <w:r w:rsidRPr="00663161">
        <w:rPr>
          <w:rFonts w:ascii="宋体" w:hAnsi="宋体"/>
          <w:kern w:val="0"/>
          <w:sz w:val="28"/>
          <w:szCs w:val="28"/>
        </w:rPr>
        <w:t>H2</w:t>
      </w:r>
      <w:r w:rsidRPr="00663161">
        <w:rPr>
          <w:rFonts w:ascii="宋体" w:hAnsi="宋体" w:hint="eastAsia"/>
          <w:kern w:val="0"/>
          <w:sz w:val="28"/>
          <w:szCs w:val="28"/>
        </w:rPr>
        <w:t>应保留</w:t>
      </w:r>
      <w:r w:rsidRPr="00663161">
        <w:rPr>
          <w:rFonts w:ascii="宋体" w:hAnsi="宋体"/>
          <w:kern w:val="0"/>
          <w:sz w:val="28"/>
          <w:szCs w:val="28"/>
        </w:rPr>
        <w:t>2MPa</w:t>
      </w:r>
      <w:r w:rsidRPr="00663161">
        <w:rPr>
          <w:rFonts w:ascii="宋体" w:hAnsi="宋体" w:hint="eastAsia"/>
          <w:kern w:val="0"/>
          <w:sz w:val="28"/>
          <w:szCs w:val="28"/>
        </w:rPr>
        <w:t>，以防重新充气时发生危险，不可用完用尽。</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各种气瓶必须定期进行技术检查。充装一般气体的气瓶三年检验一次；如在使用中发现有严重腐蚀或严重损伤的，应提前进行检验。</w:t>
      </w:r>
    </w:p>
    <w:p w:rsidR="00F84F6B" w:rsidRDefault="00F84F6B" w:rsidP="00E474B6">
      <w:pPr>
        <w:numPr>
          <w:ilvl w:val="0"/>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几种特殊气体的性质和安全</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乙炔：乙炔是极易燃烧、容易爆炸的气体。含有</w:t>
      </w:r>
      <w:r w:rsidRPr="00663161">
        <w:rPr>
          <w:rFonts w:ascii="宋体" w:hAnsi="宋体"/>
          <w:kern w:val="0"/>
          <w:sz w:val="28"/>
          <w:szCs w:val="28"/>
        </w:rPr>
        <w:t>7—13</w:t>
      </w:r>
      <w:r w:rsidRPr="00663161">
        <w:rPr>
          <w:rFonts w:ascii="宋体" w:hAnsi="宋体" w:hint="eastAsia"/>
          <w:kern w:val="0"/>
          <w:sz w:val="28"/>
          <w:szCs w:val="28"/>
        </w:rPr>
        <w:t>％乙炔的乙炔</w:t>
      </w:r>
      <w:r w:rsidRPr="00663161">
        <w:rPr>
          <w:rFonts w:ascii="宋体" w:hAnsi="宋体"/>
          <w:kern w:val="0"/>
          <w:sz w:val="28"/>
          <w:szCs w:val="28"/>
        </w:rPr>
        <w:t>——</w:t>
      </w:r>
      <w:r w:rsidRPr="00663161">
        <w:rPr>
          <w:rFonts w:ascii="宋体" w:hAnsi="宋体" w:hint="eastAsia"/>
          <w:kern w:val="0"/>
          <w:sz w:val="28"/>
          <w:szCs w:val="28"/>
        </w:rPr>
        <w:t>空气混合气，或含有</w:t>
      </w:r>
      <w:r w:rsidRPr="00663161">
        <w:rPr>
          <w:rFonts w:ascii="宋体" w:hAnsi="宋体"/>
          <w:kern w:val="0"/>
          <w:sz w:val="28"/>
          <w:szCs w:val="28"/>
        </w:rPr>
        <w:t>30</w:t>
      </w:r>
      <w:r w:rsidRPr="00663161">
        <w:rPr>
          <w:rFonts w:ascii="宋体" w:hAnsi="宋体" w:hint="eastAsia"/>
          <w:kern w:val="0"/>
          <w:sz w:val="28"/>
          <w:szCs w:val="28"/>
        </w:rPr>
        <w:t>％乙炔的乙炔</w:t>
      </w:r>
      <w:r w:rsidRPr="00663161">
        <w:rPr>
          <w:rFonts w:ascii="宋体" w:hAnsi="宋体"/>
          <w:kern w:val="0"/>
          <w:sz w:val="28"/>
          <w:szCs w:val="28"/>
        </w:rPr>
        <w:t>——</w:t>
      </w:r>
      <w:r w:rsidRPr="00663161">
        <w:rPr>
          <w:rFonts w:ascii="宋体" w:hAnsi="宋体" w:hint="eastAsia"/>
          <w:kern w:val="0"/>
          <w:sz w:val="28"/>
          <w:szCs w:val="28"/>
        </w:rPr>
        <w:t>氧气混合气最易发生爆炸。乙炔和氯、次氯酸盐等化合物也会发生燃烧和爆炸。</w:t>
      </w:r>
    </w:p>
    <w:p w:rsidR="00F84F6B"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存放乙炔气瓶的地方，要求通风良好。使用时应装上回闪阻止器，还要注意防止气体回缩。如发现乙炔气瓶有发热现象，说明乙炔已发生分解，应立即关闭气阀，并用水冷却瓶体，同时最好将气瓶移至远离人员的安全处加以妥善处理。</w:t>
      </w:r>
    </w:p>
    <w:p w:rsidR="00F84F6B"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发生乙炔燃烧时，绝对禁止用四氯化碳灭火。</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氢气：氢气密度小，易泄漏，扩散速度很快，易和其它气体混合。氢气与空气混合气的爆炸极限：空气含量为</w:t>
      </w:r>
      <w:r w:rsidRPr="00663161">
        <w:rPr>
          <w:rFonts w:ascii="宋体" w:hAnsi="宋体"/>
          <w:kern w:val="0"/>
          <w:sz w:val="28"/>
          <w:szCs w:val="28"/>
        </w:rPr>
        <w:t>18.3</w:t>
      </w:r>
      <w:r w:rsidRPr="00663161">
        <w:rPr>
          <w:rFonts w:ascii="宋体" w:hAnsi="宋体" w:cs="宋体" w:hint="eastAsia"/>
          <w:kern w:val="0"/>
          <w:sz w:val="28"/>
          <w:szCs w:val="28"/>
        </w:rPr>
        <w:t>∶</w:t>
      </w:r>
      <w:r w:rsidRPr="00663161">
        <w:rPr>
          <w:rFonts w:ascii="宋体" w:hAnsi="宋体"/>
          <w:kern w:val="0"/>
          <w:sz w:val="28"/>
          <w:szCs w:val="28"/>
        </w:rPr>
        <w:t>59.0</w:t>
      </w:r>
      <w:r w:rsidRPr="00663161">
        <w:rPr>
          <w:rFonts w:ascii="宋体" w:hAnsi="宋体" w:hint="eastAsia"/>
          <w:kern w:val="0"/>
          <w:sz w:val="28"/>
          <w:szCs w:val="28"/>
        </w:rPr>
        <w:t>％（体积比），此时，极易引起自燃自爆，燃烧速度约为</w:t>
      </w:r>
      <w:r w:rsidRPr="00663161">
        <w:rPr>
          <w:rFonts w:ascii="宋体" w:hAnsi="宋体"/>
          <w:kern w:val="0"/>
          <w:sz w:val="28"/>
          <w:szCs w:val="28"/>
        </w:rPr>
        <w:t>2.7</w:t>
      </w:r>
      <w:r w:rsidRPr="00663161">
        <w:rPr>
          <w:rFonts w:ascii="宋体" w:hAnsi="宋体" w:hint="eastAsia"/>
          <w:kern w:val="0"/>
          <w:sz w:val="28"/>
          <w:szCs w:val="28"/>
        </w:rPr>
        <w:t>米／秒。</w:t>
      </w:r>
    </w:p>
    <w:p w:rsidR="00F84F6B"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氢气应单独存放，最好放置在室外专用的小屋内，以确保安全，严禁放在实验室内，严禁烟火。应旋紧气瓶开关阀。</w:t>
      </w:r>
    </w:p>
    <w:p w:rsidR="00F84F6B"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氧气：氧气是强烈的助燃烧气体，高温下，纯氧十分活泼；温度不变而压力增加时，可以和油类发生急剧的化学反应，并引起发热自燃，进而产生强烈爆炸。</w:t>
      </w:r>
    </w:p>
    <w:p w:rsidR="00F84F6B"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氧气瓶一定要防止与油类接触，并绝对避免让其它可燃性气体混入氧气瓶；禁止用（或误用）盛其它可燃性气体的气瓶来充灌氧气。氧气瓶禁止放于阳光曝晒的地方。</w:t>
      </w:r>
    </w:p>
    <w:p w:rsidR="00F84F6B" w:rsidRPr="00663161" w:rsidRDefault="00F84F6B" w:rsidP="00E14840">
      <w:pPr>
        <w:numPr>
          <w:ilvl w:val="1"/>
          <w:numId w:val="5"/>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氧化亚氮（笑气）：具有麻醉兴奋作用，受热时可分解成为氧和氮的混合物，如遇可燃性气体即可与此混合物中的氧化合燃烧。</w:t>
      </w:r>
    </w:p>
    <w:p w:rsidR="00F84F6B" w:rsidRPr="00663161"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 xml:space="preserve">　　</w:t>
      </w:r>
    </w:p>
    <w:p w:rsidR="00F84F6B" w:rsidRPr="00E14840" w:rsidRDefault="00F84F6B" w:rsidP="00E14840">
      <w:pPr>
        <w:numPr>
          <w:ilvl w:val="0"/>
          <w:numId w:val="11"/>
        </w:numPr>
        <w:topLinePunct/>
        <w:adjustRightInd w:val="0"/>
        <w:snapToGrid w:val="0"/>
        <w:spacing w:line="360" w:lineRule="auto"/>
        <w:rPr>
          <w:rFonts w:ascii="黑体" w:eastAsia="黑体" w:hAnsi="宋体"/>
          <w:bCs/>
          <w:kern w:val="0"/>
          <w:sz w:val="28"/>
          <w:szCs w:val="28"/>
        </w:rPr>
      </w:pPr>
      <w:r w:rsidRPr="00E14840">
        <w:rPr>
          <w:rFonts w:ascii="黑体" w:eastAsia="黑体" w:hAnsi="宋体" w:hint="eastAsia"/>
          <w:bCs/>
          <w:kern w:val="0"/>
          <w:sz w:val="28"/>
          <w:szCs w:val="28"/>
        </w:rPr>
        <w:t>爆炸性物质使用安全</w:t>
      </w:r>
    </w:p>
    <w:p w:rsidR="00F84F6B" w:rsidRDefault="00F84F6B" w:rsidP="00E474B6">
      <w:pPr>
        <w:numPr>
          <w:ilvl w:val="0"/>
          <w:numId w:val="6"/>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在做带有爆炸性物质的实验中，应使用具有预防爆炸或减少其危害后果的仪器和设备，如器壁坚固的容器，压力调节阀或安全阀，安全罩（套）等操作时，切忌以脸面正对危险体，必要时应戴上防爆面具。</w:t>
      </w:r>
    </w:p>
    <w:p w:rsidR="00F84F6B" w:rsidRDefault="00F84F6B" w:rsidP="00E474B6">
      <w:pPr>
        <w:numPr>
          <w:ilvl w:val="0"/>
          <w:numId w:val="6"/>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实验前尽可能弄清楚各种物质的物理、化学性质及混合物的成分、纯度，设备的材料结构，实验的温度、压力等等条件；实验中要远离其它发热体和明火、火花等。</w:t>
      </w:r>
    </w:p>
    <w:p w:rsidR="00F84F6B" w:rsidRDefault="00F84F6B" w:rsidP="00E474B6">
      <w:pPr>
        <w:numPr>
          <w:ilvl w:val="0"/>
          <w:numId w:val="6"/>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将气体充装入预先加热的仪器内时，应先用氮或二氧化碳排除原来的气体，以防意外。</w:t>
      </w:r>
    </w:p>
    <w:p w:rsidR="00F84F6B" w:rsidRDefault="00F84F6B" w:rsidP="00E474B6">
      <w:pPr>
        <w:numPr>
          <w:ilvl w:val="0"/>
          <w:numId w:val="6"/>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当在由几个部份组成的仪器中有可能形成爆炸混合物时，则应在连接处加装保险器，或用液封的方法将几个器皿组成的系统分隔为各个部分。</w:t>
      </w:r>
    </w:p>
    <w:p w:rsidR="00F84F6B" w:rsidRDefault="00F84F6B" w:rsidP="00E474B6">
      <w:pPr>
        <w:numPr>
          <w:ilvl w:val="0"/>
          <w:numId w:val="6"/>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在任何情况下，对于危险物质都必须取用能保证实验结果的必要精确性或可靠性的最小用量进行实验，且绝对禁止用火直接加热。</w:t>
      </w:r>
    </w:p>
    <w:p w:rsidR="00F84F6B" w:rsidRDefault="00F84F6B" w:rsidP="00E474B6">
      <w:pPr>
        <w:numPr>
          <w:ilvl w:val="0"/>
          <w:numId w:val="6"/>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实验中要记住并创造条件去克服光、压力、器皿材料、表面活性等因素的影响。</w:t>
      </w:r>
    </w:p>
    <w:p w:rsidR="00F84F6B" w:rsidRDefault="00F84F6B" w:rsidP="00E474B6">
      <w:pPr>
        <w:numPr>
          <w:ilvl w:val="0"/>
          <w:numId w:val="6"/>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在有爆炸性物质的实验中，不要用带磨口塞的磨口仪器。干燥爆炸性物质时，绝对禁止关闭烘箱门，有条件时，最好在情性气体保护下进行或用真空干燥、干燥剂干燥。加热干燥时应特别注意加热的均匀性和消除局部自燃的可能性。</w:t>
      </w:r>
    </w:p>
    <w:p w:rsidR="00F84F6B" w:rsidRPr="00663161" w:rsidRDefault="00F84F6B" w:rsidP="00E474B6">
      <w:pPr>
        <w:numPr>
          <w:ilvl w:val="0"/>
          <w:numId w:val="6"/>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严格分类保管好爆炸性物质，实验剩余的残渣余物要及时妥善销毁。</w:t>
      </w:r>
    </w:p>
    <w:p w:rsidR="00F84F6B" w:rsidRPr="00663161"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 xml:space="preserve">　</w:t>
      </w:r>
    </w:p>
    <w:p w:rsidR="00F84F6B" w:rsidRPr="00E14840" w:rsidRDefault="00F84F6B" w:rsidP="00E14840">
      <w:pPr>
        <w:numPr>
          <w:ilvl w:val="0"/>
          <w:numId w:val="11"/>
        </w:numPr>
        <w:topLinePunct/>
        <w:adjustRightInd w:val="0"/>
        <w:snapToGrid w:val="0"/>
        <w:spacing w:line="360" w:lineRule="auto"/>
        <w:rPr>
          <w:rFonts w:ascii="黑体" w:eastAsia="黑体" w:hAnsi="宋体"/>
          <w:bCs/>
          <w:kern w:val="0"/>
          <w:sz w:val="28"/>
          <w:szCs w:val="28"/>
        </w:rPr>
      </w:pPr>
      <w:r w:rsidRPr="00E14840">
        <w:rPr>
          <w:rFonts w:ascii="黑体" w:eastAsia="黑体" w:hAnsi="宋体" w:hint="eastAsia"/>
          <w:bCs/>
          <w:kern w:val="0"/>
          <w:sz w:val="28"/>
          <w:szCs w:val="28"/>
        </w:rPr>
        <w:t>实验室防火安全</w:t>
      </w:r>
    </w:p>
    <w:p w:rsidR="00F84F6B" w:rsidRDefault="00F84F6B" w:rsidP="00E474B6">
      <w:pPr>
        <w:numPr>
          <w:ilvl w:val="0"/>
          <w:numId w:val="8"/>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以防为主，杜绝火灾隐患。了解各类有关易燃易爆物品知识及消防知识。遵守各种防火规则。</w:t>
      </w:r>
    </w:p>
    <w:p w:rsidR="00F84F6B" w:rsidRDefault="00F84F6B" w:rsidP="00E474B6">
      <w:pPr>
        <w:numPr>
          <w:ilvl w:val="0"/>
          <w:numId w:val="8"/>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在实验室内、过道等处，须经常备有适宜的灭火材料，如消防砂、石棉布、毯子及各类灭火器等。消防砂要保持干燥。</w:t>
      </w:r>
    </w:p>
    <w:p w:rsidR="00F84F6B" w:rsidRDefault="00F84F6B" w:rsidP="00E474B6">
      <w:pPr>
        <w:numPr>
          <w:ilvl w:val="0"/>
          <w:numId w:val="8"/>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电线及电器设备起火时，必须先切断总电源开关，再用四氯化碳灭火器灭熄，并及时通知供电部门。不许用水或泡沫灭火器来扑灭燃烧的电线电器。</w:t>
      </w:r>
    </w:p>
    <w:p w:rsidR="00F84F6B" w:rsidRDefault="00F84F6B" w:rsidP="00E474B6">
      <w:pPr>
        <w:numPr>
          <w:ilvl w:val="0"/>
          <w:numId w:val="8"/>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人员衣服着火时，立即用毯子之类物品蒙盖在着火者身上灭火，必要时也可用水扑灭。但不宜慌张跑动，避免使气流流向燃烧的衣服，再使火焰增大。</w:t>
      </w:r>
    </w:p>
    <w:p w:rsidR="00F84F6B" w:rsidRDefault="00F84F6B" w:rsidP="00E474B6">
      <w:pPr>
        <w:numPr>
          <w:ilvl w:val="0"/>
          <w:numId w:val="8"/>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加热试样或实验过程中小范围起火时，应立即用湿石棉布或湿抹布扑灭明火，并拔去电源插头，关闭总电闸煤气阀。易燃液体的固体（多为有机物）着火时，切不可用水去浇。范围较大的火情，应立即用消防砂、泡沫灭火器或干粉灭火器来扑灭。精密仪器起火，应用四氯化碳灭火器。实验室起火，不宜用水扑救。</w:t>
      </w:r>
    </w:p>
    <w:p w:rsidR="00F84F6B" w:rsidRPr="00663161" w:rsidRDefault="00F84F6B" w:rsidP="00E474B6">
      <w:pPr>
        <w:numPr>
          <w:ilvl w:val="0"/>
          <w:numId w:val="8"/>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在实验室特别是化学实验室起火时，应先作起火分析，并将实验过程的各个系统隔开。</w:t>
      </w:r>
    </w:p>
    <w:p w:rsidR="00F84F6B" w:rsidRPr="00663161"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 xml:space="preserve">　</w:t>
      </w:r>
    </w:p>
    <w:p w:rsidR="00F84F6B" w:rsidRPr="00E14840" w:rsidRDefault="00F84F6B" w:rsidP="00E14840">
      <w:pPr>
        <w:numPr>
          <w:ilvl w:val="0"/>
          <w:numId w:val="11"/>
        </w:numPr>
        <w:topLinePunct/>
        <w:adjustRightInd w:val="0"/>
        <w:snapToGrid w:val="0"/>
        <w:spacing w:line="360" w:lineRule="auto"/>
        <w:rPr>
          <w:rFonts w:ascii="黑体" w:eastAsia="黑体" w:hAnsi="宋体"/>
          <w:bCs/>
          <w:kern w:val="0"/>
          <w:sz w:val="28"/>
          <w:szCs w:val="28"/>
        </w:rPr>
      </w:pPr>
      <w:r w:rsidRPr="00E14840">
        <w:rPr>
          <w:rFonts w:ascii="黑体" w:eastAsia="黑体" w:hAnsi="宋体" w:hint="eastAsia"/>
          <w:bCs/>
          <w:kern w:val="0"/>
          <w:sz w:val="28"/>
          <w:szCs w:val="28"/>
        </w:rPr>
        <w:t>传动设备安全</w:t>
      </w:r>
    </w:p>
    <w:p w:rsidR="00F84F6B" w:rsidRDefault="00F84F6B" w:rsidP="00E474B6">
      <w:pPr>
        <w:numPr>
          <w:ilvl w:val="0"/>
          <w:numId w:val="9"/>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传动设备外露转动部份必须安装防护罩。必要时应挂</w:t>
      </w:r>
      <w:r w:rsidRPr="00663161">
        <w:rPr>
          <w:rFonts w:ascii="宋体" w:hint="eastAsia"/>
          <w:kern w:val="0"/>
          <w:sz w:val="28"/>
          <w:szCs w:val="28"/>
        </w:rPr>
        <w:t>“</w:t>
      </w:r>
      <w:r w:rsidRPr="00663161">
        <w:rPr>
          <w:rFonts w:ascii="宋体" w:hAnsi="宋体" w:hint="eastAsia"/>
          <w:kern w:val="0"/>
          <w:sz w:val="28"/>
          <w:szCs w:val="28"/>
        </w:rPr>
        <w:t>危险</w:t>
      </w:r>
      <w:r w:rsidRPr="00663161">
        <w:rPr>
          <w:rFonts w:ascii="宋体" w:hint="eastAsia"/>
          <w:kern w:val="0"/>
          <w:sz w:val="28"/>
          <w:szCs w:val="28"/>
        </w:rPr>
        <w:t>”</w:t>
      </w:r>
      <w:r w:rsidRPr="00663161">
        <w:rPr>
          <w:rFonts w:ascii="宋体" w:hAnsi="宋体" w:hint="eastAsia"/>
          <w:kern w:val="0"/>
          <w:sz w:val="28"/>
          <w:szCs w:val="28"/>
        </w:rPr>
        <w:t>等类警告牌。</w:t>
      </w:r>
    </w:p>
    <w:p w:rsidR="00F84F6B" w:rsidRDefault="00F84F6B" w:rsidP="00E474B6">
      <w:pPr>
        <w:numPr>
          <w:ilvl w:val="0"/>
          <w:numId w:val="9"/>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启动前应检查一切保护装置和安全附件，应使其处于完好状态，否则不能开车。</w:t>
      </w:r>
    </w:p>
    <w:p w:rsidR="00F84F6B" w:rsidRDefault="00F84F6B" w:rsidP="00E474B6">
      <w:pPr>
        <w:numPr>
          <w:ilvl w:val="0"/>
          <w:numId w:val="9"/>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所接压力容器应定期检查校验压力计，并经常检查压力容器接头处及送气管道。</w:t>
      </w:r>
    </w:p>
    <w:p w:rsidR="00F84F6B" w:rsidRDefault="00F84F6B" w:rsidP="00E474B6">
      <w:pPr>
        <w:numPr>
          <w:ilvl w:val="0"/>
          <w:numId w:val="9"/>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必须熟悉运转设备的操作后，方能开车。</w:t>
      </w:r>
    </w:p>
    <w:p w:rsidR="00F84F6B" w:rsidRDefault="00F84F6B" w:rsidP="00E474B6">
      <w:pPr>
        <w:numPr>
          <w:ilvl w:val="0"/>
          <w:numId w:val="9"/>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转中出现异常现象或声音，须及时停车检查，一切正常后方能重新开车。</w:t>
      </w:r>
    </w:p>
    <w:p w:rsidR="00F84F6B" w:rsidRPr="00663161" w:rsidRDefault="00F84F6B" w:rsidP="00E474B6">
      <w:pPr>
        <w:numPr>
          <w:ilvl w:val="0"/>
          <w:numId w:val="9"/>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期检修、拧紧连接螺钉等；检修必须停车，切断电源；平时应经常检查运转部件，检查所用润滑油是否符合标准。</w:t>
      </w:r>
    </w:p>
    <w:p w:rsidR="00F84F6B" w:rsidRPr="00663161"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 xml:space="preserve">　</w:t>
      </w:r>
    </w:p>
    <w:p w:rsidR="00F84F6B" w:rsidRPr="00E14840" w:rsidRDefault="00F84F6B" w:rsidP="00E14840">
      <w:pPr>
        <w:numPr>
          <w:ilvl w:val="0"/>
          <w:numId w:val="11"/>
        </w:numPr>
        <w:topLinePunct/>
        <w:adjustRightInd w:val="0"/>
        <w:snapToGrid w:val="0"/>
        <w:spacing w:line="360" w:lineRule="auto"/>
        <w:rPr>
          <w:rFonts w:ascii="黑体" w:eastAsia="黑体" w:hAnsi="宋体"/>
          <w:bCs/>
          <w:kern w:val="0"/>
          <w:sz w:val="28"/>
          <w:szCs w:val="28"/>
        </w:rPr>
      </w:pPr>
      <w:r w:rsidRPr="00E14840">
        <w:rPr>
          <w:rFonts w:ascii="黑体" w:eastAsia="黑体" w:hAnsi="宋体" w:hint="eastAsia"/>
          <w:bCs/>
          <w:kern w:val="0"/>
          <w:sz w:val="28"/>
          <w:szCs w:val="28"/>
        </w:rPr>
        <w:t>一般急救规则</w:t>
      </w:r>
    </w:p>
    <w:p w:rsidR="00F84F6B" w:rsidRPr="00E14840" w:rsidRDefault="00F84F6B" w:rsidP="00C1404B">
      <w:pPr>
        <w:numPr>
          <w:ilvl w:val="0"/>
          <w:numId w:val="10"/>
        </w:numPr>
        <w:topLinePunct/>
        <w:adjustRightInd w:val="0"/>
        <w:snapToGrid w:val="0"/>
        <w:spacing w:line="360" w:lineRule="auto"/>
        <w:rPr>
          <w:rFonts w:ascii="宋体"/>
          <w:b/>
          <w:kern w:val="0"/>
          <w:sz w:val="28"/>
          <w:szCs w:val="28"/>
        </w:rPr>
      </w:pPr>
      <w:bookmarkStart w:id="0" w:name="_GoBack"/>
      <w:bookmarkEnd w:id="0"/>
      <w:r w:rsidRPr="00E14840">
        <w:rPr>
          <w:rFonts w:ascii="宋体" w:hAnsi="宋体" w:hint="eastAsia"/>
          <w:b/>
          <w:kern w:val="0"/>
          <w:sz w:val="28"/>
          <w:szCs w:val="28"/>
        </w:rPr>
        <w:t>烧伤急救</w:t>
      </w:r>
    </w:p>
    <w:p w:rsidR="00F84F6B" w:rsidRDefault="00F84F6B" w:rsidP="00E14840">
      <w:pPr>
        <w:numPr>
          <w:ilvl w:val="0"/>
          <w:numId w:val="1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普通轻度烧伤，可擦用清凉乳剂于创伤处，并包扎好；略重的烧伤可视烧伤情况立即送医院处理；遇有休克的伤员应立即通知医院前来抢救、处理。</w:t>
      </w:r>
    </w:p>
    <w:p w:rsidR="00F84F6B" w:rsidRDefault="00F84F6B" w:rsidP="00E14840">
      <w:pPr>
        <w:numPr>
          <w:ilvl w:val="0"/>
          <w:numId w:val="1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化学烧伤时，应迅速解脱衣服，首先清除残存在皮肤上的化学药品，用水多次冲洗，同时视烧伤情况立即送医院救治或通知医院前来救治。</w:t>
      </w:r>
    </w:p>
    <w:p w:rsidR="00F84F6B" w:rsidRDefault="00F84F6B" w:rsidP="00E14840">
      <w:pPr>
        <w:numPr>
          <w:ilvl w:val="0"/>
          <w:numId w:val="13"/>
        </w:numPr>
        <w:topLinePunct/>
        <w:adjustRightInd w:val="0"/>
        <w:snapToGrid w:val="0"/>
        <w:spacing w:line="360" w:lineRule="auto"/>
        <w:rPr>
          <w:rFonts w:ascii="宋体"/>
          <w:kern w:val="0"/>
          <w:sz w:val="28"/>
          <w:szCs w:val="28"/>
        </w:rPr>
      </w:pPr>
      <w:r w:rsidRPr="00663161">
        <w:rPr>
          <w:rFonts w:ascii="宋体" w:hAnsi="宋体" w:hint="eastAsia"/>
          <w:kern w:val="0"/>
          <w:sz w:val="28"/>
          <w:szCs w:val="28"/>
        </w:rPr>
        <w:t>眼睛受到任何伤害时，应立即请眼科医生诊断。但化学灼伤时，应分秒必争，在医生到来前即抓紧时间，立即用蒸馏水冲洗眼睛，冲洗时须用细水流，而且不能直射眼球。</w:t>
      </w:r>
    </w:p>
    <w:p w:rsidR="00F84F6B" w:rsidRPr="00E14840" w:rsidRDefault="00F84F6B" w:rsidP="00E14840">
      <w:pPr>
        <w:numPr>
          <w:ilvl w:val="0"/>
          <w:numId w:val="10"/>
        </w:numPr>
        <w:topLinePunct/>
        <w:adjustRightInd w:val="0"/>
        <w:snapToGrid w:val="0"/>
        <w:spacing w:line="360" w:lineRule="auto"/>
        <w:rPr>
          <w:rFonts w:ascii="宋体"/>
          <w:b/>
          <w:kern w:val="0"/>
          <w:sz w:val="28"/>
          <w:szCs w:val="28"/>
        </w:rPr>
      </w:pPr>
      <w:r w:rsidRPr="00E14840">
        <w:rPr>
          <w:rFonts w:ascii="宋体" w:hAnsi="宋体" w:hint="eastAsia"/>
          <w:b/>
          <w:kern w:val="0"/>
          <w:sz w:val="28"/>
          <w:szCs w:val="28"/>
        </w:rPr>
        <w:t>创伤的急救</w:t>
      </w:r>
    </w:p>
    <w:p w:rsidR="00F84F6B"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小的创伤可用消毒镊子或消毒纱布把伤口清洗干净，并用</w:t>
      </w:r>
      <w:r w:rsidRPr="00663161">
        <w:rPr>
          <w:rFonts w:ascii="宋体" w:hAnsi="宋体"/>
          <w:kern w:val="0"/>
          <w:sz w:val="28"/>
          <w:szCs w:val="28"/>
        </w:rPr>
        <w:t>3.5%</w:t>
      </w:r>
      <w:r w:rsidRPr="00663161">
        <w:rPr>
          <w:rFonts w:ascii="宋体" w:hAnsi="宋体" w:hint="eastAsia"/>
          <w:kern w:val="0"/>
          <w:sz w:val="28"/>
          <w:szCs w:val="28"/>
        </w:rPr>
        <w:t>的碘酒涂在伤口周围，包起来。若出血较多时，可用压迫法止血，同时处理好伤口，扑上止血消炎粉等药，较紧的包扎起来即可。</w:t>
      </w:r>
    </w:p>
    <w:p w:rsidR="00F84F6B"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较大的创伤或者动、静脉出血，甚至骨折时，应立即用急救绷带在伤口出血部上方扎紧止血，用消毒纱布盖住伤口，立即送医务室或医院救治。但止血时间长时，应注意每隔</w:t>
      </w:r>
      <w:r w:rsidRPr="00663161">
        <w:rPr>
          <w:rFonts w:ascii="宋体" w:hAnsi="宋体"/>
          <w:kern w:val="0"/>
          <w:sz w:val="28"/>
          <w:szCs w:val="28"/>
        </w:rPr>
        <w:t>1</w:t>
      </w:r>
      <w:r w:rsidRPr="00663161">
        <w:rPr>
          <w:rFonts w:ascii="宋体" w:hAnsi="宋体" w:hint="eastAsia"/>
          <w:kern w:val="0"/>
          <w:sz w:val="28"/>
          <w:szCs w:val="28"/>
        </w:rPr>
        <w:t>－</w:t>
      </w:r>
      <w:r w:rsidRPr="00663161">
        <w:rPr>
          <w:rFonts w:ascii="宋体" w:hAnsi="宋体"/>
          <w:kern w:val="0"/>
          <w:sz w:val="28"/>
          <w:szCs w:val="28"/>
        </w:rPr>
        <w:t>2</w:t>
      </w:r>
      <w:r w:rsidRPr="00663161">
        <w:rPr>
          <w:rFonts w:ascii="宋体" w:hAnsi="宋体" w:hint="eastAsia"/>
          <w:kern w:val="0"/>
          <w:sz w:val="28"/>
          <w:szCs w:val="28"/>
        </w:rPr>
        <w:t>小时适当放松一次，以免肢体缺血坏死。</w:t>
      </w:r>
    </w:p>
    <w:p w:rsidR="00F84F6B" w:rsidRPr="00E14840" w:rsidRDefault="00F84F6B" w:rsidP="00E14840">
      <w:pPr>
        <w:numPr>
          <w:ilvl w:val="0"/>
          <w:numId w:val="10"/>
        </w:numPr>
        <w:topLinePunct/>
        <w:adjustRightInd w:val="0"/>
        <w:snapToGrid w:val="0"/>
        <w:spacing w:line="360" w:lineRule="auto"/>
        <w:rPr>
          <w:rFonts w:ascii="宋体"/>
          <w:b/>
          <w:kern w:val="0"/>
          <w:sz w:val="28"/>
          <w:szCs w:val="28"/>
        </w:rPr>
      </w:pPr>
      <w:r w:rsidRPr="00E14840">
        <w:rPr>
          <w:rFonts w:ascii="宋体" w:hAnsi="宋体" w:hint="eastAsia"/>
          <w:b/>
          <w:kern w:val="0"/>
          <w:sz w:val="28"/>
          <w:szCs w:val="28"/>
        </w:rPr>
        <w:t>中毒的急救</w:t>
      </w:r>
    </w:p>
    <w:p w:rsidR="00F84F6B"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对中毒者的急救主要在于把患者送往医院或医生到达之前，尽快将患者从中毒物质区域中移出，并尽量弄清致毒物质，以便协助医生排除中毒者体内毒物。如遇中毒者呼吸停止，心脏停跳时，应立即施行人工呼吸、心脏按摩，直至医生到达或送到医院为止。</w:t>
      </w:r>
    </w:p>
    <w:p w:rsidR="00F84F6B" w:rsidRPr="00E14840" w:rsidRDefault="00F84F6B" w:rsidP="00E14840">
      <w:pPr>
        <w:numPr>
          <w:ilvl w:val="0"/>
          <w:numId w:val="10"/>
        </w:numPr>
        <w:topLinePunct/>
        <w:adjustRightInd w:val="0"/>
        <w:snapToGrid w:val="0"/>
        <w:spacing w:line="360" w:lineRule="auto"/>
        <w:rPr>
          <w:rFonts w:ascii="宋体"/>
          <w:b/>
          <w:kern w:val="0"/>
          <w:sz w:val="28"/>
          <w:szCs w:val="28"/>
        </w:rPr>
      </w:pPr>
      <w:r w:rsidRPr="00E14840">
        <w:rPr>
          <w:rFonts w:ascii="宋体" w:hAnsi="宋体" w:hint="eastAsia"/>
          <w:b/>
          <w:kern w:val="0"/>
          <w:sz w:val="28"/>
          <w:szCs w:val="28"/>
        </w:rPr>
        <w:t>触电的急救</w:t>
      </w:r>
    </w:p>
    <w:p w:rsidR="00F84F6B" w:rsidRPr="00663161" w:rsidRDefault="00F84F6B" w:rsidP="00B739A2">
      <w:pPr>
        <w:topLinePunct/>
        <w:adjustRightInd w:val="0"/>
        <w:snapToGrid w:val="0"/>
        <w:spacing w:line="360" w:lineRule="auto"/>
        <w:ind w:firstLineChars="200" w:firstLine="31680"/>
        <w:rPr>
          <w:rFonts w:ascii="宋体"/>
          <w:kern w:val="0"/>
          <w:sz w:val="28"/>
          <w:szCs w:val="28"/>
        </w:rPr>
      </w:pPr>
      <w:r w:rsidRPr="00663161">
        <w:rPr>
          <w:rFonts w:ascii="宋体" w:hAnsi="宋体" w:hint="eastAsia"/>
          <w:kern w:val="0"/>
          <w:sz w:val="28"/>
          <w:szCs w:val="28"/>
        </w:rPr>
        <w:t>有人触电时应立即切断电源或设法使触电人脱离电源；患者呼吸停止或心脏停跳时应立即施行人工呼吸或心脏按摩。特别注意出现假死现象时，千万不能放弃抢救，尽快送往医院救治。</w:t>
      </w:r>
    </w:p>
    <w:p w:rsidR="00F84F6B" w:rsidRPr="00663161" w:rsidRDefault="00F84F6B" w:rsidP="00B739A2">
      <w:pPr>
        <w:topLinePunct/>
        <w:adjustRightInd w:val="0"/>
        <w:snapToGrid w:val="0"/>
        <w:spacing w:line="360" w:lineRule="auto"/>
        <w:ind w:firstLineChars="200" w:firstLine="31680"/>
        <w:rPr>
          <w:rFonts w:ascii="宋体"/>
          <w:sz w:val="28"/>
          <w:szCs w:val="28"/>
        </w:rPr>
      </w:pPr>
    </w:p>
    <w:sectPr w:rsidR="00F84F6B" w:rsidRPr="00663161" w:rsidSect="00E14840">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F6B" w:rsidRDefault="00F84F6B">
      <w:r>
        <w:separator/>
      </w:r>
    </w:p>
  </w:endnote>
  <w:endnote w:type="continuationSeparator" w:id="1">
    <w:p w:rsidR="00F84F6B" w:rsidRDefault="00F84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6B" w:rsidRDefault="00F84F6B" w:rsidP="00054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4F6B" w:rsidRDefault="00F84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6B" w:rsidRPr="00E14840" w:rsidRDefault="00F84F6B" w:rsidP="00054934">
    <w:pPr>
      <w:pStyle w:val="Footer"/>
      <w:framePr w:wrap="around" w:vAnchor="text" w:hAnchor="margin" w:xAlign="center" w:y="1"/>
      <w:rPr>
        <w:rStyle w:val="PageNumber"/>
        <w:rFonts w:ascii="宋体"/>
        <w:sz w:val="24"/>
        <w:szCs w:val="24"/>
      </w:rPr>
    </w:pPr>
    <w:r w:rsidRPr="00E14840">
      <w:rPr>
        <w:rStyle w:val="PageNumber"/>
        <w:rFonts w:ascii="宋体" w:hAnsi="宋体"/>
        <w:sz w:val="24"/>
        <w:szCs w:val="24"/>
      </w:rPr>
      <w:fldChar w:fldCharType="begin"/>
    </w:r>
    <w:r w:rsidRPr="00E14840">
      <w:rPr>
        <w:rStyle w:val="PageNumber"/>
        <w:rFonts w:ascii="宋体" w:hAnsi="宋体"/>
        <w:sz w:val="24"/>
        <w:szCs w:val="24"/>
      </w:rPr>
      <w:instrText xml:space="preserve">PAGE  </w:instrText>
    </w:r>
    <w:r w:rsidRPr="00E14840">
      <w:rPr>
        <w:rStyle w:val="PageNumber"/>
        <w:rFonts w:ascii="宋体" w:hAnsi="宋体"/>
        <w:sz w:val="24"/>
        <w:szCs w:val="24"/>
      </w:rPr>
      <w:fldChar w:fldCharType="separate"/>
    </w:r>
    <w:r>
      <w:rPr>
        <w:rStyle w:val="PageNumber"/>
        <w:rFonts w:ascii="宋体" w:hAnsi="宋体"/>
        <w:noProof/>
        <w:sz w:val="24"/>
        <w:szCs w:val="24"/>
      </w:rPr>
      <w:t>8</w:t>
    </w:r>
    <w:r w:rsidRPr="00E14840">
      <w:rPr>
        <w:rStyle w:val="PageNumber"/>
        <w:rFonts w:ascii="宋体" w:hAnsi="宋体"/>
        <w:sz w:val="24"/>
        <w:szCs w:val="24"/>
      </w:rPr>
      <w:fldChar w:fldCharType="end"/>
    </w:r>
  </w:p>
  <w:p w:rsidR="00F84F6B" w:rsidRDefault="00F84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F6B" w:rsidRDefault="00F84F6B">
      <w:r>
        <w:separator/>
      </w:r>
    </w:p>
  </w:footnote>
  <w:footnote w:type="continuationSeparator" w:id="1">
    <w:p w:rsidR="00F84F6B" w:rsidRDefault="00F84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455C"/>
    <w:multiLevelType w:val="hybridMultilevel"/>
    <w:tmpl w:val="4A423C32"/>
    <w:lvl w:ilvl="0" w:tplc="382E8B6E">
      <w:start w:val="1"/>
      <w:numFmt w:val="decimal"/>
      <w:lvlText w:val="%1、"/>
      <w:lvlJc w:val="left"/>
      <w:pPr>
        <w:tabs>
          <w:tab w:val="num" w:pos="567"/>
        </w:tabs>
        <w:ind w:firstLine="567"/>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364069C9"/>
    <w:multiLevelType w:val="hybridMultilevel"/>
    <w:tmpl w:val="42007D0E"/>
    <w:lvl w:ilvl="0" w:tplc="382E8B6E">
      <w:start w:val="1"/>
      <w:numFmt w:val="decimal"/>
      <w:lvlText w:val="%1、"/>
      <w:lvlJc w:val="left"/>
      <w:pPr>
        <w:tabs>
          <w:tab w:val="num" w:pos="567"/>
        </w:tabs>
        <w:ind w:firstLine="567"/>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40124180"/>
    <w:multiLevelType w:val="hybridMultilevel"/>
    <w:tmpl w:val="F7C60884"/>
    <w:lvl w:ilvl="0" w:tplc="382E8B6E">
      <w:start w:val="1"/>
      <w:numFmt w:val="decimal"/>
      <w:lvlText w:val="%1、"/>
      <w:lvlJc w:val="left"/>
      <w:pPr>
        <w:tabs>
          <w:tab w:val="num" w:pos="567"/>
        </w:tabs>
        <w:ind w:firstLine="567"/>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4BBA5056"/>
    <w:multiLevelType w:val="hybridMultilevel"/>
    <w:tmpl w:val="908A74CC"/>
    <w:lvl w:ilvl="0" w:tplc="382E8B6E">
      <w:start w:val="1"/>
      <w:numFmt w:val="decimal"/>
      <w:lvlText w:val="%1、"/>
      <w:lvlJc w:val="left"/>
      <w:pPr>
        <w:tabs>
          <w:tab w:val="num" w:pos="567"/>
        </w:tabs>
        <w:ind w:firstLine="567"/>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4DDC2492"/>
    <w:multiLevelType w:val="hybridMultilevel"/>
    <w:tmpl w:val="56FA142A"/>
    <w:lvl w:ilvl="0" w:tplc="382E8B6E">
      <w:start w:val="1"/>
      <w:numFmt w:val="decimal"/>
      <w:lvlText w:val="%1、"/>
      <w:lvlJc w:val="left"/>
      <w:pPr>
        <w:tabs>
          <w:tab w:val="num" w:pos="567"/>
        </w:tabs>
        <w:ind w:firstLine="567"/>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501331C9"/>
    <w:multiLevelType w:val="hybridMultilevel"/>
    <w:tmpl w:val="6748C1E8"/>
    <w:lvl w:ilvl="0" w:tplc="68EE0694">
      <w:start w:val="1"/>
      <w:numFmt w:val="decimal"/>
      <w:lvlText w:val="(%1)"/>
      <w:lvlJc w:val="left"/>
      <w:pPr>
        <w:tabs>
          <w:tab w:val="num" w:pos="420"/>
        </w:tabs>
        <w:ind w:firstLine="567"/>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541C7812"/>
    <w:multiLevelType w:val="hybridMultilevel"/>
    <w:tmpl w:val="32985844"/>
    <w:lvl w:ilvl="0" w:tplc="382E8B6E">
      <w:start w:val="1"/>
      <w:numFmt w:val="decimal"/>
      <w:lvlText w:val="%1、"/>
      <w:lvlJc w:val="left"/>
      <w:pPr>
        <w:tabs>
          <w:tab w:val="num" w:pos="567"/>
        </w:tabs>
        <w:ind w:firstLine="567"/>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56387726"/>
    <w:multiLevelType w:val="hybridMultilevel"/>
    <w:tmpl w:val="8C40F934"/>
    <w:lvl w:ilvl="0" w:tplc="382E8B6E">
      <w:start w:val="1"/>
      <w:numFmt w:val="decimal"/>
      <w:lvlText w:val="%1、"/>
      <w:lvlJc w:val="left"/>
      <w:pPr>
        <w:tabs>
          <w:tab w:val="num" w:pos="567"/>
        </w:tabs>
        <w:ind w:firstLine="567"/>
      </w:pPr>
      <w:rPr>
        <w:rFonts w:cs="Times New Roman" w:hint="default"/>
        <w:b/>
      </w:rPr>
    </w:lvl>
    <w:lvl w:ilvl="1" w:tplc="68EE0694">
      <w:start w:val="1"/>
      <w:numFmt w:val="decimal"/>
      <w:lvlText w:val="(%2)"/>
      <w:lvlJc w:val="left"/>
      <w:pPr>
        <w:tabs>
          <w:tab w:val="num" w:pos="420"/>
        </w:tabs>
        <w:ind w:firstLine="567"/>
      </w:pPr>
      <w:rPr>
        <w:rFonts w:cs="Times New Roman" w:hint="default"/>
        <w:b/>
      </w:rPr>
    </w:lvl>
    <w:lvl w:ilvl="2" w:tplc="0B90F770">
      <w:start w:val="1"/>
      <w:numFmt w:val="decimal"/>
      <w:lvlText w:val="（%3）"/>
      <w:lvlJc w:val="left"/>
      <w:pPr>
        <w:tabs>
          <w:tab w:val="num" w:pos="1950"/>
        </w:tabs>
        <w:ind w:left="1950" w:hanging="111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506753F"/>
    <w:multiLevelType w:val="multilevel"/>
    <w:tmpl w:val="F7C60884"/>
    <w:lvl w:ilvl="0">
      <w:start w:val="1"/>
      <w:numFmt w:val="decimal"/>
      <w:lvlText w:val="%1、"/>
      <w:lvlJc w:val="left"/>
      <w:pPr>
        <w:tabs>
          <w:tab w:val="num" w:pos="567"/>
        </w:tabs>
        <w:ind w:firstLine="567"/>
      </w:pPr>
      <w:rPr>
        <w:rFonts w:cs="Times New Roman" w:hint="default"/>
        <w:b/>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67C96842"/>
    <w:multiLevelType w:val="hybridMultilevel"/>
    <w:tmpl w:val="AA2AAFD2"/>
    <w:lvl w:ilvl="0" w:tplc="797E377A">
      <w:start w:val="1"/>
      <w:numFmt w:val="japaneseCounting"/>
      <w:lvlText w:val="%1、"/>
      <w:lvlJc w:val="left"/>
      <w:pPr>
        <w:tabs>
          <w:tab w:val="num" w:pos="1282"/>
        </w:tabs>
        <w:ind w:left="1282" w:hanging="720"/>
      </w:pPr>
      <w:rPr>
        <w:rFonts w:cs="Times New Roman" w:hint="default"/>
        <w:b/>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abstractNum w:abstractNumId="10">
    <w:nsid w:val="6EA86744"/>
    <w:multiLevelType w:val="hybridMultilevel"/>
    <w:tmpl w:val="E692EFA2"/>
    <w:lvl w:ilvl="0" w:tplc="8E34F162">
      <w:start w:val="1"/>
      <w:numFmt w:val="chineseCountingThousand"/>
      <w:suff w:val="nothing"/>
      <w:lvlText w:val="%1、"/>
      <w:lvlJc w:val="left"/>
      <w:pPr>
        <w:ind w:firstLine="567"/>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6EE9352F"/>
    <w:multiLevelType w:val="hybridMultilevel"/>
    <w:tmpl w:val="37F62292"/>
    <w:lvl w:ilvl="0" w:tplc="382E8B6E">
      <w:start w:val="1"/>
      <w:numFmt w:val="decimal"/>
      <w:lvlText w:val="%1、"/>
      <w:lvlJc w:val="left"/>
      <w:pPr>
        <w:tabs>
          <w:tab w:val="num" w:pos="567"/>
        </w:tabs>
        <w:ind w:firstLine="567"/>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7EE904F2"/>
    <w:multiLevelType w:val="hybridMultilevel"/>
    <w:tmpl w:val="4016F926"/>
    <w:lvl w:ilvl="0" w:tplc="A7D63220">
      <w:start w:val="1"/>
      <w:numFmt w:val="decimal"/>
      <w:lvlText w:val="%1."/>
      <w:lvlJc w:val="left"/>
      <w:pPr>
        <w:tabs>
          <w:tab w:val="num" w:pos="1400"/>
        </w:tabs>
        <w:ind w:left="1400" w:hanging="84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1"/>
  </w:num>
  <w:num w:numId="2">
    <w:abstractNumId w:val="12"/>
  </w:num>
  <w:num w:numId="3">
    <w:abstractNumId w:val="11"/>
  </w:num>
  <w:num w:numId="4">
    <w:abstractNumId w:val="6"/>
  </w:num>
  <w:num w:numId="5">
    <w:abstractNumId w:val="7"/>
  </w:num>
  <w:num w:numId="6">
    <w:abstractNumId w:val="2"/>
  </w:num>
  <w:num w:numId="7">
    <w:abstractNumId w:val="8"/>
  </w:num>
  <w:num w:numId="8">
    <w:abstractNumId w:val="4"/>
  </w:num>
  <w:num w:numId="9">
    <w:abstractNumId w:val="0"/>
  </w:num>
  <w:num w:numId="10">
    <w:abstractNumId w:val="3"/>
  </w:num>
  <w:num w:numId="11">
    <w:abstractNumId w:val="1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A34"/>
    <w:rsid w:val="00054934"/>
    <w:rsid w:val="005B7723"/>
    <w:rsid w:val="00663161"/>
    <w:rsid w:val="008E64A1"/>
    <w:rsid w:val="009C3E4D"/>
    <w:rsid w:val="00B739A2"/>
    <w:rsid w:val="00C1404B"/>
    <w:rsid w:val="00C653EC"/>
    <w:rsid w:val="00DC1A34"/>
    <w:rsid w:val="00E14840"/>
    <w:rsid w:val="00E323F2"/>
    <w:rsid w:val="00E474B6"/>
    <w:rsid w:val="00F84F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E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48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14961"/>
    <w:rPr>
      <w:sz w:val="18"/>
      <w:szCs w:val="18"/>
    </w:rPr>
  </w:style>
  <w:style w:type="character" w:styleId="PageNumber">
    <w:name w:val="page number"/>
    <w:basedOn w:val="DefaultParagraphFont"/>
    <w:uiPriority w:val="99"/>
    <w:rsid w:val="00E14840"/>
    <w:rPr>
      <w:rFonts w:cs="Times New Roman"/>
    </w:rPr>
  </w:style>
  <w:style w:type="paragraph" w:styleId="Header">
    <w:name w:val="header"/>
    <w:basedOn w:val="Normal"/>
    <w:link w:val="HeaderChar"/>
    <w:uiPriority w:val="99"/>
    <w:rsid w:val="00E148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14961"/>
    <w:rPr>
      <w:sz w:val="18"/>
      <w:szCs w:val="18"/>
    </w:rPr>
  </w:style>
</w:styles>
</file>

<file path=word/webSettings.xml><?xml version="1.0" encoding="utf-8"?>
<w:webSettings xmlns:r="http://schemas.openxmlformats.org/officeDocument/2006/relationships" xmlns:w="http://schemas.openxmlformats.org/wordprocessingml/2006/main">
  <w:divs>
    <w:div w:id="1438453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10</Pages>
  <Words>746</Words>
  <Characters>4253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zjc</dc:creator>
  <cp:keywords/>
  <dc:description/>
  <cp:lastModifiedBy>User</cp:lastModifiedBy>
  <cp:revision>7</cp:revision>
  <dcterms:created xsi:type="dcterms:W3CDTF">2016-05-15T01:36:00Z</dcterms:created>
  <dcterms:modified xsi:type="dcterms:W3CDTF">2020-11-20T00:57:00Z</dcterms:modified>
</cp:coreProperties>
</file>